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2946" w14:textId="77777777" w:rsidR="00C31B4E" w:rsidRPr="00415E78" w:rsidRDefault="00C31B4E" w:rsidP="00C31B4E">
      <w:pPr>
        <w:pStyle w:val="Title"/>
        <w:rPr>
          <w:rFonts w:ascii="Garamond" w:hAnsi="Garamond"/>
        </w:rPr>
      </w:pPr>
      <w:r w:rsidRPr="00415E78">
        <w:rPr>
          <w:rFonts w:ascii="Garamond" w:hAnsi="Garamond"/>
        </w:rPr>
        <w:t xml:space="preserve">SOCI 269 </w:t>
      </w:r>
    </w:p>
    <w:p w14:paraId="64E83F90" w14:textId="214EEDD1" w:rsidR="00C31B4E" w:rsidRPr="00415E78" w:rsidRDefault="00C31B4E" w:rsidP="00C31B4E">
      <w:pPr>
        <w:pStyle w:val="Title"/>
        <w:rPr>
          <w:rFonts w:ascii="Garamond" w:hAnsi="Garamond"/>
        </w:rPr>
      </w:pPr>
      <w:r w:rsidRPr="00415E78">
        <w:rPr>
          <w:rFonts w:ascii="Garamond" w:hAnsi="Garamond"/>
        </w:rPr>
        <w:t>“Midterm” Assignment</w:t>
      </w:r>
    </w:p>
    <w:p w14:paraId="3CDB6F0C" w14:textId="77777777" w:rsidR="00C31B4E" w:rsidRPr="00415E78" w:rsidRDefault="00C31B4E" w:rsidP="00C31B4E">
      <w:pPr>
        <w:pStyle w:val="Subtitle"/>
        <w:spacing w:after="0"/>
        <w:jc w:val="center"/>
        <w:rPr>
          <w:rFonts w:ascii="Garamond" w:hAnsi="Garamond"/>
        </w:rPr>
      </w:pPr>
      <w:r w:rsidRPr="00415E78">
        <w:rPr>
          <w:rFonts w:ascii="Garamond" w:hAnsi="Garamond"/>
        </w:rPr>
        <w:t>Sakeef M. Karim</w:t>
      </w:r>
    </w:p>
    <w:p w14:paraId="4940033D" w14:textId="77777777" w:rsidR="00C31B4E" w:rsidRPr="00415E78" w:rsidRDefault="00C31B4E" w:rsidP="00C31B4E">
      <w:pPr>
        <w:pStyle w:val="Subtitle"/>
        <w:spacing w:after="0"/>
        <w:jc w:val="center"/>
        <w:rPr>
          <w:rFonts w:ascii="Garamond" w:hAnsi="Garamond"/>
        </w:rPr>
      </w:pPr>
      <w:r w:rsidRPr="00415E78">
        <w:rPr>
          <w:rFonts w:ascii="Garamond" w:hAnsi="Garamond"/>
          <w:i/>
          <w:iCs/>
        </w:rPr>
        <w:t>Amherst College</w:t>
      </w:r>
    </w:p>
    <w:p w14:paraId="6C4C59F1" w14:textId="77777777" w:rsidR="00795530" w:rsidRPr="00415E78" w:rsidRDefault="00000000">
      <w:pPr>
        <w:pStyle w:val="Heading2"/>
        <w:rPr>
          <w:rFonts w:ascii="Garamond" w:hAnsi="Garamond"/>
        </w:rPr>
      </w:pPr>
      <w:bookmarkStart w:id="0" w:name="basic-expectations"/>
      <w:r w:rsidRPr="00415E78">
        <w:rPr>
          <w:rFonts w:ascii="Garamond" w:hAnsi="Garamond"/>
        </w:rPr>
        <w:t>Basic Expectations</w:t>
      </w:r>
    </w:p>
    <w:p w14:paraId="4823571B" w14:textId="096BD549" w:rsidR="00795530" w:rsidRPr="00415E78" w:rsidRDefault="00000000">
      <w:pPr>
        <w:pStyle w:val="FirstParagraph"/>
        <w:rPr>
          <w:rFonts w:ascii="Garamond" w:hAnsi="Garamond"/>
        </w:rPr>
      </w:pPr>
      <w:r w:rsidRPr="00415E78">
        <w:rPr>
          <w:rFonts w:ascii="Garamond" w:hAnsi="Garamond"/>
        </w:rPr>
        <w:t xml:space="preserve">As noted in your </w:t>
      </w:r>
      <w:hyperlink r:id="rId7">
        <w:r w:rsidR="00795530" w:rsidRPr="00415E78">
          <w:rPr>
            <w:rStyle w:val="Hyperlink"/>
            <w:rFonts w:ascii="Garamond" w:hAnsi="Garamond"/>
          </w:rPr>
          <w:t>syllabus</w:t>
        </w:r>
      </w:hyperlink>
      <w:r w:rsidRPr="00415E78">
        <w:rPr>
          <w:rFonts w:ascii="Garamond" w:hAnsi="Garamond"/>
        </w:rPr>
        <w:t>, you are required to submit a “midterm”</w:t>
      </w:r>
      <w:r w:rsidRPr="00415E78">
        <w:rPr>
          <w:rStyle w:val="FootnoteReference"/>
          <w:rFonts w:ascii="Garamond" w:hAnsi="Garamond"/>
        </w:rPr>
        <w:footnoteReference w:id="1"/>
      </w:r>
      <w:r w:rsidRPr="00415E78">
        <w:rPr>
          <w:rFonts w:ascii="Garamond" w:hAnsi="Garamond"/>
        </w:rPr>
        <w:t xml:space="preserve"> assignment by </w:t>
      </w:r>
      <w:r w:rsidR="007F5477">
        <w:rPr>
          <w:rFonts w:ascii="Garamond" w:hAnsi="Garamond"/>
        </w:rPr>
        <w:t>Tuesday</w:t>
      </w:r>
      <w:r w:rsidRPr="00415E78">
        <w:rPr>
          <w:rFonts w:ascii="Garamond" w:hAnsi="Garamond"/>
        </w:rPr>
        <w:t xml:space="preserve">, April </w:t>
      </w:r>
      <w:r w:rsidR="007F5477">
        <w:rPr>
          <w:rFonts w:ascii="Garamond" w:hAnsi="Garamond"/>
        </w:rPr>
        <w:t>8</w:t>
      </w:r>
      <w:r w:rsidRPr="00415E78">
        <w:rPr>
          <w:rFonts w:ascii="Garamond" w:hAnsi="Garamond"/>
          <w:vertAlign w:val="superscript"/>
        </w:rPr>
        <w:t>th</w:t>
      </w:r>
      <w:r w:rsidRPr="00415E78">
        <w:rPr>
          <w:rFonts w:ascii="Garamond" w:hAnsi="Garamond"/>
        </w:rPr>
        <w:t xml:space="preserve"> at 8:00 PM. For this assignment, you will—either individually or in groups of 2-3—submit a relatively complex data visualization using one of the </w:t>
      </w:r>
      <w:hyperlink w:anchor="thedata">
        <w:r w:rsidR="00795530" w:rsidRPr="00415E78">
          <w:rPr>
            <w:rStyle w:val="Hyperlink"/>
            <w:rFonts w:ascii="Garamond" w:hAnsi="Garamond"/>
          </w:rPr>
          <w:t>data sources</w:t>
        </w:r>
      </w:hyperlink>
      <w:r w:rsidRPr="00415E78">
        <w:rPr>
          <w:rFonts w:ascii="Garamond" w:hAnsi="Garamond"/>
        </w:rPr>
        <w:t xml:space="preserve"> listed below; an annotated script file or Quarto/RMarkdown document featuring your underlying code; and a 5–10-page reflection memo (double-spaced) where you interpret your results and establish connections between your visualization and recent social scientific scholarship. </w:t>
      </w:r>
      <w:r w:rsidRPr="00415E78">
        <w:rPr>
          <w:rFonts w:ascii="Garamond" w:hAnsi="Garamond"/>
          <w:i/>
          <w:iCs/>
        </w:rPr>
        <w:t>Most</w:t>
      </w:r>
      <w:r w:rsidRPr="00415E78">
        <w:rPr>
          <w:rFonts w:ascii="Garamond" w:hAnsi="Garamond"/>
        </w:rPr>
        <w:t xml:space="preserve"> of the scholarship you engage with should be quantitatively oriented.</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648"/>
      </w:tblGrid>
      <w:tr w:rsidR="00FF3FE9" w:rsidRPr="00415E78" w14:paraId="4D451CA4" w14:textId="77777777" w:rsidTr="00CC6A6E">
        <w:trPr>
          <w:cantSplit/>
        </w:trPr>
        <w:tc>
          <w:tcPr>
            <w:tcW w:w="0" w:type="auto"/>
            <w:shd w:val="clear" w:color="auto" w:fill="FCEFDC"/>
            <w:tcMar>
              <w:top w:w="92" w:type="dxa"/>
              <w:bottom w:w="92" w:type="dxa"/>
            </w:tcMar>
          </w:tcPr>
          <w:p w14:paraId="2E0D3F60" w14:textId="05F81F94" w:rsidR="00FF3FE9" w:rsidRPr="00415E78" w:rsidRDefault="00FF3FE9" w:rsidP="00CC6A6E">
            <w:pPr>
              <w:pStyle w:val="BodyText"/>
              <w:spacing w:before="0" w:after="0"/>
              <w:textAlignment w:val="center"/>
              <w:rPr>
                <w:rFonts w:ascii="Garamond" w:hAnsi="Garamond"/>
              </w:rPr>
            </w:pPr>
            <w:r w:rsidRPr="00415E78">
              <w:rPr>
                <w:rFonts w:ascii="Garamond" w:hAnsi="Garamond"/>
                <w:noProof/>
              </w:rPr>
              <w:drawing>
                <wp:inline distT="0" distB="0" distL="0" distR="0" wp14:anchorId="09E9F9DD" wp14:editId="702355F8">
                  <wp:extent cx="152400" cy="152400"/>
                  <wp:effectExtent l="0" t="0" r="0" b="0"/>
                  <wp:docPr id="429778163" name="Picture"/>
                  <wp:cNvGraphicFramePr/>
                  <a:graphic xmlns:a="http://schemas.openxmlformats.org/drawingml/2006/main">
                    <a:graphicData uri="http://schemas.openxmlformats.org/drawingml/2006/picture">
                      <pic:pic xmlns:pic="http://schemas.openxmlformats.org/drawingml/2006/picture">
                        <pic:nvPicPr>
                          <pic:cNvPr id="62" name="Picture" descr="/Applications/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rsidRPr="00415E78">
              <w:rPr>
                <w:rFonts w:ascii="Garamond" w:hAnsi="Garamond"/>
              </w:rPr>
              <w:t xml:space="preserve">  To Reiterate</w:t>
            </w:r>
          </w:p>
        </w:tc>
      </w:tr>
      <w:tr w:rsidR="00FF3FE9" w:rsidRPr="00415E78" w14:paraId="1CC6990B" w14:textId="77777777" w:rsidTr="00CC6A6E">
        <w:trPr>
          <w:cantSplit/>
        </w:trPr>
        <w:tc>
          <w:tcPr>
            <w:tcW w:w="0" w:type="auto"/>
            <w:tcMar>
              <w:top w:w="108" w:type="dxa"/>
              <w:bottom w:w="108" w:type="dxa"/>
            </w:tcMar>
          </w:tcPr>
          <w:p w14:paraId="6F68A674" w14:textId="4C413FD3" w:rsidR="00FF3FE9" w:rsidRPr="00415E78" w:rsidRDefault="00FF3FE9" w:rsidP="00FF3FE9">
            <w:pPr>
              <w:pStyle w:val="FirstParagraph"/>
              <w:spacing w:before="0" w:after="0"/>
              <w:rPr>
                <w:rFonts w:ascii="Garamond" w:hAnsi="Garamond"/>
              </w:rPr>
            </w:pPr>
            <w:r w:rsidRPr="00415E78">
              <w:rPr>
                <w:rFonts w:ascii="Garamond" w:hAnsi="Garamond"/>
                <w:b/>
                <w:bCs/>
                <w:i/>
                <w:iCs/>
              </w:rPr>
              <w:t>Most</w:t>
            </w:r>
            <w:r w:rsidRPr="00415E78">
              <w:rPr>
                <w:rFonts w:ascii="Garamond" w:hAnsi="Garamond"/>
              </w:rPr>
              <w:t xml:space="preserve"> of the scholarship you engage with should be quantitatively oriented.</w:t>
            </w:r>
          </w:p>
        </w:tc>
      </w:tr>
    </w:tbl>
    <w:p w14:paraId="06957099" w14:textId="77777777" w:rsidR="00FF3FE9" w:rsidRPr="00415E78" w:rsidRDefault="00FF3FE9" w:rsidP="00FF3FE9">
      <w:pPr>
        <w:pStyle w:val="BodyText"/>
        <w:rPr>
          <w:rFonts w:ascii="Garamond" w:hAnsi="Garamond"/>
        </w:rPr>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48"/>
      </w:tblGrid>
      <w:tr w:rsidR="00795530" w:rsidRPr="00415E78" w14:paraId="14E281C2" w14:textId="77777777" w:rsidTr="00795530">
        <w:trPr>
          <w:cantSplit/>
        </w:trPr>
        <w:tc>
          <w:tcPr>
            <w:tcW w:w="0" w:type="auto"/>
            <w:shd w:val="clear" w:color="auto" w:fill="F7DDDC"/>
            <w:tcMar>
              <w:top w:w="92" w:type="dxa"/>
              <w:bottom w:w="92" w:type="dxa"/>
            </w:tcMar>
          </w:tcPr>
          <w:p w14:paraId="0ED17782" w14:textId="77777777" w:rsidR="00795530" w:rsidRPr="00415E78" w:rsidRDefault="00000000">
            <w:pPr>
              <w:pStyle w:val="BodyText"/>
              <w:spacing w:before="0" w:after="0"/>
              <w:textAlignment w:val="center"/>
              <w:rPr>
                <w:rFonts w:ascii="Garamond" w:hAnsi="Garamond"/>
              </w:rPr>
            </w:pPr>
            <w:r w:rsidRPr="00415E78">
              <w:rPr>
                <w:rFonts w:ascii="Garamond" w:hAnsi="Garamond"/>
                <w:noProof/>
              </w:rPr>
              <w:drawing>
                <wp:inline distT="0" distB="0" distL="0" distR="0" wp14:anchorId="5A67F402" wp14:editId="6108D3C8">
                  <wp:extent cx="152400" cy="15240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Picture" descr="/Applications/quarto/share/formats/docx/important.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rsidRPr="00415E78">
              <w:rPr>
                <w:rFonts w:ascii="Garamond" w:hAnsi="Garamond"/>
              </w:rPr>
              <w:t xml:space="preserve">  You Must Submit Two Separate Files</w:t>
            </w:r>
          </w:p>
        </w:tc>
      </w:tr>
      <w:tr w:rsidR="00795530" w:rsidRPr="00415E78" w14:paraId="05E2141A" w14:textId="77777777" w:rsidTr="00795530">
        <w:trPr>
          <w:cantSplit/>
        </w:trPr>
        <w:tc>
          <w:tcPr>
            <w:tcW w:w="0" w:type="auto"/>
            <w:tcMar>
              <w:top w:w="108" w:type="dxa"/>
              <w:bottom w:w="108" w:type="dxa"/>
            </w:tcMar>
          </w:tcPr>
          <w:p w14:paraId="5098A68C" w14:textId="77777777" w:rsidR="00795530" w:rsidRPr="00415E78" w:rsidRDefault="00000000" w:rsidP="00C31B4E">
            <w:pPr>
              <w:pStyle w:val="BodyText"/>
              <w:spacing w:before="0" w:after="0"/>
              <w:rPr>
                <w:rFonts w:ascii="Garamond" w:hAnsi="Garamond"/>
              </w:rPr>
            </w:pPr>
            <w:r w:rsidRPr="00415E78">
              <w:rPr>
                <w:rFonts w:ascii="Garamond" w:hAnsi="Garamond"/>
                <w:i/>
                <w:iCs/>
              </w:rPr>
              <w:t>Please remember to submit</w:t>
            </w:r>
            <w:r w:rsidRPr="00415E78">
              <w:rPr>
                <w:rFonts w:ascii="Garamond" w:hAnsi="Garamond"/>
              </w:rPr>
              <w:t>:</w:t>
            </w:r>
          </w:p>
          <w:p w14:paraId="07CB38BA" w14:textId="77777777" w:rsidR="00C31B4E" w:rsidRPr="00415E78" w:rsidRDefault="00C31B4E" w:rsidP="00C31B4E">
            <w:pPr>
              <w:pStyle w:val="BodyText"/>
              <w:spacing w:before="0" w:after="0"/>
              <w:rPr>
                <w:rFonts w:ascii="Garamond" w:hAnsi="Garamond"/>
              </w:rPr>
            </w:pPr>
          </w:p>
          <w:p w14:paraId="0B3A361C" w14:textId="77777777" w:rsidR="00795530" w:rsidRPr="00415E78" w:rsidRDefault="00000000">
            <w:pPr>
              <w:pStyle w:val="Compact"/>
              <w:numPr>
                <w:ilvl w:val="0"/>
                <w:numId w:val="2"/>
              </w:numPr>
              <w:rPr>
                <w:rFonts w:ascii="Garamond" w:hAnsi="Garamond"/>
              </w:rPr>
            </w:pPr>
            <w:r w:rsidRPr="00415E78">
              <w:rPr>
                <w:rFonts w:ascii="Garamond" w:hAnsi="Garamond"/>
              </w:rPr>
              <w:t xml:space="preserve">The code you used to complete the assignment (i.e., as an </w:t>
            </w:r>
            <w:r w:rsidRPr="00415E78">
              <w:rPr>
                <w:rStyle w:val="VerbatimChar"/>
                <w:rFonts w:ascii="Garamond" w:hAnsi="Garamond"/>
              </w:rPr>
              <w:t>.Rmd</w:t>
            </w:r>
            <w:r w:rsidRPr="00415E78">
              <w:rPr>
                <w:rFonts w:ascii="Garamond" w:hAnsi="Garamond"/>
              </w:rPr>
              <w:t xml:space="preserve">, </w:t>
            </w:r>
            <w:r w:rsidRPr="00415E78">
              <w:rPr>
                <w:rStyle w:val="VerbatimChar"/>
                <w:rFonts w:ascii="Garamond" w:hAnsi="Garamond"/>
              </w:rPr>
              <w:t>.qmd</w:t>
            </w:r>
            <w:r w:rsidRPr="00415E78">
              <w:rPr>
                <w:rFonts w:ascii="Garamond" w:hAnsi="Garamond"/>
              </w:rPr>
              <w:t xml:space="preserve"> or </w:t>
            </w:r>
            <w:r w:rsidRPr="00415E78">
              <w:rPr>
                <w:rStyle w:val="VerbatimChar"/>
                <w:rFonts w:ascii="Garamond" w:hAnsi="Garamond"/>
              </w:rPr>
              <w:t>.R</w:t>
            </w:r>
            <w:r w:rsidRPr="00415E78">
              <w:rPr>
                <w:rFonts w:ascii="Garamond" w:hAnsi="Garamond"/>
              </w:rPr>
              <w:t xml:space="preserve"> file).</w:t>
            </w:r>
          </w:p>
          <w:p w14:paraId="533A7D34" w14:textId="77777777" w:rsidR="00795530" w:rsidRPr="00415E78" w:rsidRDefault="00000000">
            <w:pPr>
              <w:pStyle w:val="Compact"/>
              <w:numPr>
                <w:ilvl w:val="0"/>
                <w:numId w:val="2"/>
              </w:numPr>
              <w:rPr>
                <w:rFonts w:ascii="Garamond" w:hAnsi="Garamond"/>
              </w:rPr>
            </w:pPr>
            <w:r w:rsidRPr="00415E78">
              <w:rPr>
                <w:rFonts w:ascii="Garamond" w:hAnsi="Garamond"/>
              </w:rPr>
              <w:t xml:space="preserve">A </w:t>
            </w:r>
            <w:r w:rsidRPr="00415E78">
              <w:rPr>
                <w:rFonts w:ascii="Garamond" w:hAnsi="Garamond"/>
                <w:b/>
                <w:bCs/>
                <w:i/>
                <w:iCs/>
              </w:rPr>
              <w:t>separate</w:t>
            </w:r>
            <w:r w:rsidRPr="00415E78">
              <w:rPr>
                <w:rFonts w:ascii="Garamond" w:hAnsi="Garamond"/>
              </w:rPr>
              <w:t xml:space="preserve"> document—i.e., paper—featuring your results and exposition.</w:t>
            </w:r>
          </w:p>
        </w:tc>
      </w:tr>
    </w:tbl>
    <w:p w14:paraId="4D29E59D" w14:textId="77777777" w:rsidR="00795530" w:rsidRPr="00415E78" w:rsidRDefault="00000000">
      <w:pPr>
        <w:pStyle w:val="Heading2"/>
        <w:rPr>
          <w:rFonts w:ascii="Garamond" w:hAnsi="Garamond"/>
        </w:rPr>
      </w:pPr>
      <w:bookmarkStart w:id="1" w:name="thedata"/>
      <w:bookmarkEnd w:id="0"/>
      <w:r w:rsidRPr="00415E78">
        <w:rPr>
          <w:rFonts w:ascii="Garamond" w:hAnsi="Garamond"/>
        </w:rPr>
        <w:t>The Data</w:t>
      </w:r>
    </w:p>
    <w:p w14:paraId="5B5A8C67" w14:textId="77777777" w:rsidR="00795530" w:rsidRPr="00415E78" w:rsidRDefault="00000000">
      <w:pPr>
        <w:pStyle w:val="Heading3"/>
        <w:rPr>
          <w:rFonts w:ascii="Garamond" w:hAnsi="Garamond"/>
        </w:rPr>
      </w:pPr>
      <w:bookmarkStart w:id="2" w:name="broad-overview"/>
      <w:r w:rsidRPr="00415E78">
        <w:rPr>
          <w:rFonts w:ascii="Garamond" w:hAnsi="Garamond"/>
        </w:rPr>
        <w:t>Broad Overview</w:t>
      </w:r>
    </w:p>
    <w:p w14:paraId="3BC9397D" w14:textId="77777777" w:rsidR="00795530" w:rsidRPr="00415E78" w:rsidRDefault="00000000">
      <w:pPr>
        <w:pStyle w:val="FirstParagraph"/>
        <w:rPr>
          <w:rFonts w:ascii="Garamond" w:hAnsi="Garamond"/>
        </w:rPr>
      </w:pPr>
      <w:r w:rsidRPr="00415E78">
        <w:rPr>
          <w:rFonts w:ascii="Garamond" w:hAnsi="Garamond"/>
        </w:rPr>
        <w:t xml:space="preserve">You can work with the 2010 </w:t>
      </w:r>
      <w:r w:rsidRPr="00415E78">
        <w:rPr>
          <w:rFonts w:ascii="Garamond" w:hAnsi="Garamond"/>
          <w:i/>
          <w:iCs/>
        </w:rPr>
        <w:t>General Social Survey</w:t>
      </w:r>
      <w:r w:rsidRPr="00415E78">
        <w:rPr>
          <w:rFonts w:ascii="Garamond" w:hAnsi="Garamond"/>
        </w:rPr>
        <w:t xml:space="preserve"> (henceforth, GSS); the </w:t>
      </w:r>
      <w:r w:rsidRPr="00415E78">
        <w:rPr>
          <w:rFonts w:ascii="Garamond" w:hAnsi="Garamond"/>
          <w:i/>
          <w:iCs/>
        </w:rPr>
        <w:t>American National Election Studies</w:t>
      </w:r>
      <w:r w:rsidRPr="00415E78">
        <w:rPr>
          <w:rFonts w:ascii="Garamond" w:hAnsi="Garamond"/>
        </w:rPr>
        <w:t xml:space="preserve"> (henceforth, ANES) Cumulative File; or </w:t>
      </w:r>
      <w:r w:rsidRPr="00415E78">
        <w:rPr>
          <w:rFonts w:ascii="Garamond" w:hAnsi="Garamond"/>
          <w:b/>
          <w:bCs/>
          <w:i/>
          <w:iCs/>
        </w:rPr>
        <w:t>any of the data sets</w:t>
      </w:r>
      <w:r w:rsidRPr="00415E78">
        <w:rPr>
          <w:rFonts w:ascii="Garamond" w:hAnsi="Garamond"/>
        </w:rPr>
        <w:t xml:space="preserve"> featured in </w:t>
      </w:r>
      <w:hyperlink r:id="rId10">
        <w:r w:rsidR="00795530" w:rsidRPr="00415E78">
          <w:rPr>
            <w:rStyle w:val="Hyperlink"/>
            <w:rFonts w:ascii="Garamond" w:hAnsi="Garamond"/>
          </w:rPr>
          <w:t>Week 4</w:t>
        </w:r>
      </w:hyperlink>
      <w:r w:rsidRPr="00415E78">
        <w:rPr>
          <w:rFonts w:ascii="Garamond" w:hAnsi="Garamond"/>
        </w:rPr>
        <w:t xml:space="preserve"> of this class. GSS and ANES files were prepared using the </w:t>
      </w:r>
      <w:hyperlink r:id="rId11">
        <w:r w:rsidR="00795530" w:rsidRPr="00415E78">
          <w:rPr>
            <w:rStyle w:val="VerbatimChar"/>
            <w:rFonts w:ascii="Garamond" w:hAnsi="Garamond"/>
          </w:rPr>
          <w:t>{gssr}</w:t>
        </w:r>
      </w:hyperlink>
      <w:r w:rsidRPr="00415E78">
        <w:rPr>
          <w:rFonts w:ascii="Garamond" w:hAnsi="Garamond"/>
        </w:rPr>
        <w:t xml:space="preserve"> and </w:t>
      </w:r>
      <w:hyperlink r:id="rId12">
        <w:r w:rsidR="00795530" w:rsidRPr="00415E78">
          <w:rPr>
            <w:rStyle w:val="VerbatimChar"/>
            <w:rFonts w:ascii="Garamond" w:hAnsi="Garamond"/>
          </w:rPr>
          <w:t>{anesr}</w:t>
        </w:r>
      </w:hyperlink>
      <w:r w:rsidRPr="00415E78">
        <w:rPr>
          <w:rFonts w:ascii="Garamond" w:hAnsi="Garamond"/>
        </w:rPr>
        <w:t xml:space="preserve"> packages in </w:t>
      </w:r>
      <w:r w:rsidRPr="00415E78">
        <w:rPr>
          <w:rFonts w:ascii="Garamond" w:hAnsi="Garamond"/>
          <w:noProof/>
        </w:rPr>
        <w:drawing>
          <wp:inline distT="0" distB="0" distL="0" distR="0" wp14:anchorId="2AB17E71" wp14:editId="764C8645">
            <wp:extent cx="177593" cy="157162"/>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Assignment-2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r w:rsidRPr="00415E78">
        <w:rPr>
          <w:rFonts w:ascii="Garamond" w:hAnsi="Garamond"/>
        </w:rPr>
        <w:t>.</w:t>
      </w:r>
    </w:p>
    <w:p w14:paraId="31AF43BB" w14:textId="77777777" w:rsidR="00795530" w:rsidRPr="00415E78" w:rsidRDefault="00000000">
      <w:pPr>
        <w:pStyle w:val="BodyText"/>
        <w:rPr>
          <w:rFonts w:ascii="Garamond" w:hAnsi="Garamond"/>
        </w:rPr>
      </w:pPr>
      <w:r w:rsidRPr="00415E78">
        <w:rPr>
          <w:rFonts w:ascii="Garamond" w:hAnsi="Garamond"/>
        </w:rPr>
        <w:t>You can access these data through one of three channels:</w:t>
      </w:r>
    </w:p>
    <w:p w14:paraId="2BC6362D" w14:textId="77777777" w:rsidR="00795530" w:rsidRPr="00415E78" w:rsidRDefault="00000000">
      <w:pPr>
        <w:pStyle w:val="Compact"/>
        <w:numPr>
          <w:ilvl w:val="0"/>
          <w:numId w:val="3"/>
        </w:numPr>
        <w:rPr>
          <w:rFonts w:ascii="Garamond" w:hAnsi="Garamond"/>
        </w:rPr>
      </w:pPr>
      <w:r w:rsidRPr="00415E78">
        <w:rPr>
          <w:rFonts w:ascii="Garamond" w:hAnsi="Garamond"/>
        </w:rPr>
        <w:t>By copying and pasting the script below directly into RStudio:</w:t>
      </w:r>
    </w:p>
    <w:p w14:paraId="77216FE9" w14:textId="77777777" w:rsidR="00CE05E2" w:rsidRPr="00415E78" w:rsidRDefault="00CE05E2" w:rsidP="00CE05E2">
      <w:pPr>
        <w:pStyle w:val="Compact"/>
        <w:rPr>
          <w:rFonts w:ascii="Garamond" w:hAnsi="Garamond"/>
        </w:rPr>
      </w:pPr>
    </w:p>
    <w:p w14:paraId="3A9E3B3A" w14:textId="77777777" w:rsidR="00CE05E2" w:rsidRPr="00415E78" w:rsidRDefault="00CE05E2" w:rsidP="00CE05E2">
      <w:pPr>
        <w:pStyle w:val="SourceCode"/>
        <w:rPr>
          <w:rFonts w:ascii="Garamond" w:hAnsi="Garamond"/>
        </w:rPr>
      </w:pPr>
      <w:r w:rsidRPr="00415E78">
        <w:rPr>
          <w:rStyle w:val="FunctionTok"/>
          <w:rFonts w:ascii="Garamond" w:hAnsi="Garamond"/>
        </w:rPr>
        <w:t>load</w:t>
      </w:r>
      <w:r w:rsidRPr="00415E78">
        <w:rPr>
          <w:rStyle w:val="NormalTok"/>
          <w:rFonts w:ascii="Garamond" w:hAnsi="Garamond"/>
        </w:rPr>
        <w:t>(</w:t>
      </w:r>
      <w:r w:rsidRPr="00415E78">
        <w:rPr>
          <w:rStyle w:val="FunctionTok"/>
          <w:rFonts w:ascii="Garamond" w:hAnsi="Garamond"/>
        </w:rPr>
        <w:t>url</w:t>
      </w:r>
      <w:r w:rsidRPr="00415E78">
        <w:rPr>
          <w:rStyle w:val="NormalTok"/>
          <w:rFonts w:ascii="Garamond" w:hAnsi="Garamond"/>
        </w:rPr>
        <w:t>(</w:t>
      </w:r>
      <w:r w:rsidRPr="00415E78">
        <w:rPr>
          <w:rStyle w:val="StringTok"/>
          <w:rFonts w:ascii="Garamond" w:hAnsi="Garamond"/>
        </w:rPr>
        <w:t>"https://github.com/sakeefkarim/intro_quantitative_sociology/raw/refs/heads/main/data/assignments/midterm%20assignment/assignment-2.RData"</w:t>
      </w:r>
      <w:r w:rsidRPr="00415E78">
        <w:rPr>
          <w:rStyle w:val="NormalTok"/>
          <w:rFonts w:ascii="Garamond" w:hAnsi="Garamond"/>
        </w:rPr>
        <w:t>))</w:t>
      </w:r>
    </w:p>
    <w:p w14:paraId="1DD2CA0E" w14:textId="77777777" w:rsidR="00CE05E2" w:rsidRPr="00415E78" w:rsidRDefault="00CE05E2" w:rsidP="00CE05E2">
      <w:pPr>
        <w:pStyle w:val="Compact"/>
        <w:rPr>
          <w:rFonts w:ascii="Garamond" w:hAnsi="Garamond"/>
        </w:rPr>
      </w:pPr>
    </w:p>
    <w:p w14:paraId="3013E3F9" w14:textId="77777777" w:rsidR="00C31B4E" w:rsidRPr="00415E78" w:rsidRDefault="00C31B4E" w:rsidP="00C31B4E">
      <w:pPr>
        <w:pStyle w:val="Compact"/>
        <w:rPr>
          <w:rFonts w:ascii="Garamond" w:hAnsi="Garamond"/>
        </w:rPr>
      </w:pPr>
    </w:p>
    <w:p w14:paraId="546C6D35" w14:textId="77777777" w:rsidR="00795530" w:rsidRPr="00415E78" w:rsidRDefault="00000000">
      <w:pPr>
        <w:numPr>
          <w:ilvl w:val="0"/>
          <w:numId w:val="4"/>
        </w:numPr>
        <w:rPr>
          <w:rFonts w:ascii="Garamond" w:hAnsi="Garamond"/>
        </w:rPr>
      </w:pPr>
      <w:r w:rsidRPr="00415E78">
        <w:rPr>
          <w:rFonts w:ascii="Garamond" w:hAnsi="Garamond"/>
        </w:rPr>
        <w:t xml:space="preserve">By </w:t>
      </w:r>
      <w:hyperlink r:id="rId14">
        <w:r w:rsidR="00795530" w:rsidRPr="00415E78">
          <w:rPr>
            <w:rStyle w:val="Hyperlink"/>
            <w:rFonts w:ascii="Garamond" w:hAnsi="Garamond"/>
          </w:rPr>
          <w:t xml:space="preserve">downloading </w:t>
        </w:r>
      </w:hyperlink>
      <w:r w:rsidRPr="00415E78">
        <w:rPr>
          <w:rFonts w:ascii="Garamond" w:hAnsi="Garamond"/>
        </w:rPr>
        <w:t xml:space="preserve"> </w:t>
      </w:r>
      <w:proofErr w:type="gramStart"/>
      <w:r w:rsidRPr="00415E78">
        <w:rPr>
          <w:rFonts w:ascii="Garamond" w:hAnsi="Garamond"/>
        </w:rPr>
        <w:t xml:space="preserve">the </w:t>
      </w:r>
      <w:r w:rsidRPr="00415E78">
        <w:rPr>
          <w:rStyle w:val="VerbatimChar"/>
          <w:rFonts w:ascii="Garamond" w:hAnsi="Garamond"/>
        </w:rPr>
        <w:t>.</w:t>
      </w:r>
      <w:proofErr w:type="spellStart"/>
      <w:r w:rsidRPr="00415E78">
        <w:rPr>
          <w:rStyle w:val="VerbatimChar"/>
          <w:rFonts w:ascii="Garamond" w:hAnsi="Garamond"/>
        </w:rPr>
        <w:t>RData</w:t>
      </w:r>
      <w:proofErr w:type="spellEnd"/>
      <w:proofErr w:type="gramEnd"/>
      <w:r w:rsidRPr="00415E78">
        <w:rPr>
          <w:rFonts w:ascii="Garamond" w:hAnsi="Garamond"/>
        </w:rPr>
        <w:t xml:space="preserve"> file.</w:t>
      </w:r>
    </w:p>
    <w:p w14:paraId="5EA67BEB" w14:textId="77777777" w:rsidR="00795530" w:rsidRPr="00415E78" w:rsidRDefault="00000000">
      <w:pPr>
        <w:numPr>
          <w:ilvl w:val="0"/>
          <w:numId w:val="4"/>
        </w:numPr>
        <w:rPr>
          <w:rFonts w:ascii="Garamond" w:hAnsi="Garamond"/>
        </w:rPr>
      </w:pPr>
      <w:r w:rsidRPr="00415E78">
        <w:rPr>
          <w:rFonts w:ascii="Garamond" w:hAnsi="Garamond"/>
        </w:rPr>
        <w:t xml:space="preserve">By cloning our companion </w:t>
      </w:r>
      <w:hyperlink r:id="rId15">
        <w:r w:rsidR="00795530" w:rsidRPr="00415E78">
          <w:rPr>
            <w:rStyle w:val="Hyperlink"/>
            <w:rFonts w:ascii="Garamond" w:hAnsi="Garamond"/>
          </w:rPr>
          <w:t>GitHub  repository</w:t>
        </w:r>
      </w:hyperlink>
      <w:r w:rsidRPr="00415E78">
        <w:rPr>
          <w:rFonts w:ascii="Garamond" w:hAnsi="Garamond"/>
        </w:rPr>
        <w:t>.</w:t>
      </w:r>
    </w:p>
    <w:p w14:paraId="33ECD544" w14:textId="77777777" w:rsidR="00795530" w:rsidRPr="00415E78" w:rsidRDefault="00000000">
      <w:pPr>
        <w:pStyle w:val="Heading3"/>
        <w:rPr>
          <w:rFonts w:ascii="Garamond" w:hAnsi="Garamond"/>
        </w:rPr>
      </w:pPr>
      <w:bookmarkStart w:id="3" w:name="variables-in-the-anes-time-series"/>
      <w:bookmarkEnd w:id="2"/>
      <w:r w:rsidRPr="00415E78">
        <w:rPr>
          <w:rFonts w:ascii="Garamond" w:hAnsi="Garamond"/>
        </w:rPr>
        <w:t>Variables in the ANES Time Series</w:t>
      </w:r>
    </w:p>
    <w:p w14:paraId="1FA4FFB5" w14:textId="1BBEC4E4" w:rsidR="00795530" w:rsidRPr="00415E78" w:rsidRDefault="00C31B4E" w:rsidP="00C31B4E">
      <w:pPr>
        <w:pStyle w:val="FirstParagraph"/>
        <w:rPr>
          <w:rFonts w:ascii="Garamond" w:hAnsi="Garamond"/>
        </w:rPr>
      </w:pPr>
      <w:r w:rsidRPr="00415E78">
        <w:rPr>
          <w:rFonts w:ascii="Garamond" w:hAnsi="Garamond"/>
        </w:rPr>
        <w:t>Learn more about the ANES time series by clicking here.</w:t>
      </w:r>
    </w:p>
    <w:p w14:paraId="17F298ED" w14:textId="77777777" w:rsidR="00795530" w:rsidRPr="00415E78" w:rsidRDefault="00000000">
      <w:pPr>
        <w:pStyle w:val="Heading3"/>
        <w:rPr>
          <w:rFonts w:ascii="Garamond" w:hAnsi="Garamond"/>
        </w:rPr>
      </w:pPr>
      <w:bookmarkStart w:id="4" w:name="variables-in-the-2010-gss"/>
      <w:bookmarkEnd w:id="3"/>
      <w:r w:rsidRPr="00415E78">
        <w:rPr>
          <w:rFonts w:ascii="Garamond" w:hAnsi="Garamond"/>
        </w:rPr>
        <w:t>Variables in the 2010 GSS</w:t>
      </w:r>
    </w:p>
    <w:p w14:paraId="50E16B3A" w14:textId="44DC42EB" w:rsidR="00795530" w:rsidRPr="00415E78" w:rsidRDefault="00C31B4E">
      <w:pPr>
        <w:pStyle w:val="FirstParagraph"/>
        <w:rPr>
          <w:rFonts w:ascii="Garamond" w:hAnsi="Garamond"/>
        </w:rPr>
      </w:pPr>
      <w:r w:rsidRPr="00415E78">
        <w:rPr>
          <w:rFonts w:ascii="Garamond" w:hAnsi="Garamond"/>
        </w:rPr>
        <w:t>Learn more about the 2010 GSS by clicking here.</w:t>
      </w:r>
    </w:p>
    <w:p w14:paraId="72DB7393" w14:textId="77777777" w:rsidR="00795530" w:rsidRPr="00415E78" w:rsidRDefault="00000000">
      <w:pPr>
        <w:pStyle w:val="Heading2"/>
        <w:rPr>
          <w:rFonts w:ascii="Garamond" w:hAnsi="Garamond"/>
        </w:rPr>
      </w:pPr>
      <w:bookmarkStart w:id="5" w:name="thepaper"/>
      <w:bookmarkEnd w:id="1"/>
      <w:bookmarkEnd w:id="4"/>
      <w:r w:rsidRPr="00415E78">
        <w:rPr>
          <w:rFonts w:ascii="Garamond" w:hAnsi="Garamond"/>
        </w:rPr>
        <w:t>Structure of Paper</w:t>
      </w:r>
    </w:p>
    <w:p w14:paraId="67EDB0A2" w14:textId="77777777" w:rsidR="00795530" w:rsidRPr="00415E78" w:rsidRDefault="00000000">
      <w:pPr>
        <w:pStyle w:val="Heading3"/>
        <w:rPr>
          <w:rFonts w:ascii="Garamond" w:hAnsi="Garamond"/>
        </w:rPr>
      </w:pPr>
      <w:bookmarkStart w:id="6" w:name="introductory-section"/>
      <w:r w:rsidRPr="00415E78">
        <w:rPr>
          <w:rFonts w:ascii="Garamond" w:hAnsi="Garamond"/>
        </w:rPr>
        <w:t>Introductory Section</w:t>
      </w:r>
    </w:p>
    <w:p w14:paraId="249E15CA" w14:textId="77777777" w:rsidR="00795530" w:rsidRPr="00415E78" w:rsidRDefault="00000000">
      <w:pPr>
        <w:pStyle w:val="FirstParagraph"/>
        <w:rPr>
          <w:rFonts w:ascii="Garamond" w:hAnsi="Garamond"/>
        </w:rPr>
      </w:pPr>
      <w:r w:rsidRPr="00415E78">
        <w:rPr>
          <w:rFonts w:ascii="Garamond" w:hAnsi="Garamond"/>
        </w:rPr>
        <w:t xml:space="preserve">In your introduction, state the </w:t>
      </w:r>
      <w:hyperlink r:id="rId16">
        <w:r w:rsidR="00795530" w:rsidRPr="00415E78">
          <w:rPr>
            <w:rStyle w:val="Hyperlink"/>
            <w:rFonts w:ascii="Garamond" w:hAnsi="Garamond"/>
          </w:rPr>
          <w:t>central thesis</w:t>
        </w:r>
      </w:hyperlink>
      <w:r w:rsidRPr="00415E78">
        <w:rPr>
          <w:rFonts w:ascii="Garamond" w:hAnsi="Garamond"/>
        </w:rPr>
        <w:t xml:space="preserve"> of your paper with lucidity and precision. To wit, please clearly, succinctly, and cogently communicate the thrust of your argument. Introductory paragraphs should provide a brief summary of the literature you engage with and offer a clear roadmap for the paper: i.e., what are the key claims being made? How will different theoretical perspectives and conceptual frameworks be integrated? What is </w:t>
      </w:r>
      <m:oMath>
        <m:r>
          <w:rPr>
            <w:rFonts w:ascii="Cambria Math" w:hAnsi="Cambria Math"/>
          </w:rPr>
          <m:t>x</m:t>
        </m:r>
      </m:oMath>
      <w:r w:rsidRPr="00415E78">
        <w:rPr>
          <w:rFonts w:ascii="Garamond" w:hAnsi="Garamond"/>
        </w:rPr>
        <w:t>, your phenomenon of analytic interest?</w:t>
      </w:r>
    </w:p>
    <w:tbl>
      <w:tblPr>
        <w:tblStyle w:val="Table"/>
        <w:tblW w:w="0" w:type="auto"/>
        <w:tblInd w:w="164" w:type="dxa"/>
        <w:tblBorders>
          <w:left w:val="single" w:sz="24" w:space="0" w:color="909090"/>
        </w:tblBorders>
        <w:tblCellMar>
          <w:left w:w="0" w:type="dxa"/>
          <w:right w:w="0" w:type="dxa"/>
        </w:tblCellMar>
        <w:tblLook w:val="0000" w:firstRow="0" w:lastRow="0" w:firstColumn="0" w:lastColumn="0" w:noHBand="0" w:noVBand="0"/>
      </w:tblPr>
      <w:tblGrid>
        <w:gridCol w:w="4674"/>
      </w:tblGrid>
      <w:tr w:rsidR="00795530" w:rsidRPr="00415E78" w14:paraId="787624D8" w14:textId="77777777" w:rsidTr="00795530">
        <w:trPr>
          <w:cantSplit/>
        </w:trPr>
        <w:tc>
          <w:tcPr>
            <w:tcW w:w="0" w:type="auto"/>
            <w:tcMar>
              <w:left w:w="144" w:type="dxa"/>
            </w:tcMar>
          </w:tcPr>
          <w:p w14:paraId="5FB69F2D" w14:textId="798EB031" w:rsidR="00795530" w:rsidRPr="00415E78" w:rsidRDefault="00000000">
            <w:pPr>
              <w:pStyle w:val="BodyText"/>
              <w:spacing w:before="16" w:after="64"/>
              <w:rPr>
                <w:rFonts w:ascii="Garamond" w:hAnsi="Garamond"/>
              </w:rPr>
            </w:pPr>
            <w:r w:rsidRPr="00415E78">
              <w:rPr>
                <w:rFonts w:ascii="Garamond" w:hAnsi="Garamond"/>
                <w:b/>
                <w:bCs/>
              </w:rPr>
              <w:t xml:space="preserve">Hint </w:t>
            </w:r>
          </w:p>
          <w:p w14:paraId="7C057569" w14:textId="77777777" w:rsidR="00795530" w:rsidRPr="00415E78" w:rsidRDefault="00000000">
            <w:pPr>
              <w:pStyle w:val="BodyText"/>
              <w:spacing w:before="16" w:after="16"/>
              <w:rPr>
                <w:rFonts w:ascii="Garamond" w:hAnsi="Garamond"/>
              </w:rPr>
            </w:pPr>
            <m:oMath>
              <m:r>
                <w:rPr>
                  <w:rFonts w:ascii="Cambria Math" w:hAnsi="Cambria Math"/>
                </w:rPr>
                <m:t>x</m:t>
              </m:r>
            </m:oMath>
            <w:r w:rsidRPr="00415E78">
              <w:rPr>
                <w:rFonts w:ascii="Garamond" w:hAnsi="Garamond"/>
              </w:rPr>
              <w:t xml:space="preserve"> should be </w:t>
            </w:r>
            <w:r w:rsidRPr="00415E78">
              <w:rPr>
                <w:rFonts w:ascii="Garamond" w:hAnsi="Garamond"/>
                <w:b/>
                <w:bCs/>
                <w:i/>
                <w:iCs/>
              </w:rPr>
              <w:t>directly</w:t>
            </w:r>
            <w:r w:rsidRPr="00415E78">
              <w:rPr>
                <w:rFonts w:ascii="Garamond" w:hAnsi="Garamond"/>
              </w:rPr>
              <w:t xml:space="preserve"> related to your visualization.</w:t>
            </w:r>
          </w:p>
        </w:tc>
      </w:tr>
    </w:tbl>
    <w:p w14:paraId="67705B4B" w14:textId="77777777" w:rsidR="00795530" w:rsidRPr="00415E78" w:rsidRDefault="00000000">
      <w:pPr>
        <w:pStyle w:val="BodyText"/>
        <w:rPr>
          <w:rFonts w:ascii="Garamond" w:hAnsi="Garamond"/>
        </w:rPr>
      </w:pPr>
      <w:r w:rsidRPr="00415E78">
        <w:rPr>
          <w:rFonts w:ascii="Garamond" w:hAnsi="Garamond"/>
        </w:rPr>
        <w:t>What is the central puzzle, problem, or idea being addressed? Please resist the allure of grandiosity. Ancient philosophers and fables need not be invoked.</w:t>
      </w:r>
    </w:p>
    <w:p w14:paraId="5C6B2A94" w14:textId="77777777" w:rsidR="00795530" w:rsidRPr="00415E78" w:rsidRDefault="00000000">
      <w:pPr>
        <w:pStyle w:val="Heading3"/>
        <w:rPr>
          <w:rFonts w:ascii="Garamond" w:hAnsi="Garamond"/>
        </w:rPr>
      </w:pPr>
      <w:bookmarkStart w:id="7" w:name="visualization"/>
      <w:bookmarkEnd w:id="6"/>
      <w:r w:rsidRPr="00415E78">
        <w:rPr>
          <w:rFonts w:ascii="Garamond" w:hAnsi="Garamond"/>
        </w:rPr>
        <w:t>Visualization</w:t>
      </w:r>
    </w:p>
    <w:p w14:paraId="164D63E8" w14:textId="77777777" w:rsidR="00795530" w:rsidRPr="00415E78" w:rsidRDefault="00000000">
      <w:pPr>
        <w:pStyle w:val="FirstParagraph"/>
        <w:rPr>
          <w:rFonts w:ascii="Garamond" w:hAnsi="Garamond"/>
        </w:rPr>
      </w:pPr>
      <w:r w:rsidRPr="00415E78">
        <w:rPr>
          <w:rFonts w:ascii="Garamond" w:hAnsi="Garamond"/>
        </w:rPr>
        <w:t xml:space="preserve">You must embed your visualization </w:t>
      </w:r>
      <w:r w:rsidRPr="00415E78">
        <w:rPr>
          <w:rFonts w:ascii="Garamond" w:hAnsi="Garamond"/>
          <w:b/>
          <w:bCs/>
          <w:i/>
          <w:iCs/>
        </w:rPr>
        <w:t>directly</w:t>
      </w:r>
      <w:r w:rsidRPr="00415E78">
        <w:rPr>
          <w:rFonts w:ascii="Garamond" w:hAnsi="Garamond"/>
        </w:rPr>
        <w:t xml:space="preserve"> within your main text. It should be placed </w:t>
      </w:r>
      <w:r w:rsidRPr="00415E78">
        <w:rPr>
          <w:rFonts w:ascii="Garamond" w:hAnsi="Garamond"/>
          <w:i/>
          <w:iCs/>
        </w:rPr>
        <w:t>after</w:t>
      </w:r>
      <w:r w:rsidRPr="00415E78">
        <w:rPr>
          <w:rFonts w:ascii="Garamond" w:hAnsi="Garamond"/>
        </w:rPr>
        <w:t xml:space="preserve"> the Introduction, though the exact location is up to you. To orient the reader,</w:t>
      </w:r>
      <w:r w:rsidRPr="00415E78">
        <w:rPr>
          <w:rStyle w:val="FootnoteReference"/>
          <w:rFonts w:ascii="Garamond" w:hAnsi="Garamond"/>
        </w:rPr>
        <w:footnoteReference w:id="2"/>
      </w:r>
      <w:r w:rsidRPr="00415E78">
        <w:rPr>
          <w:rFonts w:ascii="Garamond" w:hAnsi="Garamond"/>
        </w:rPr>
        <w:t xml:space="preserve"> the visualization must have a detailed caption (e.g., </w:t>
      </w:r>
      <w:r w:rsidRPr="00415E78">
        <w:rPr>
          <w:rStyle w:val="VerbatimChar"/>
          <w:rFonts w:ascii="Garamond" w:hAnsi="Garamond"/>
        </w:rPr>
        <w:t>Figure 1</w:t>
      </w:r>
      <w:r w:rsidRPr="00415E78">
        <w:rPr>
          <w:rFonts w:ascii="Garamond" w:hAnsi="Garamond"/>
        </w:rPr>
        <w:t>) clearly explaining what your plot seeks to convey.</w:t>
      </w:r>
    </w:p>
    <w:p w14:paraId="31FE8397" w14:textId="77777777" w:rsidR="00795530" w:rsidRPr="00415E78" w:rsidRDefault="00000000">
      <w:pPr>
        <w:pStyle w:val="Heading3"/>
        <w:rPr>
          <w:rFonts w:ascii="Garamond" w:hAnsi="Garamond"/>
        </w:rPr>
      </w:pPr>
      <w:bookmarkStart w:id="8" w:name="interpretation"/>
      <w:bookmarkEnd w:id="7"/>
      <w:r w:rsidRPr="00415E78">
        <w:rPr>
          <w:rFonts w:ascii="Garamond" w:hAnsi="Garamond"/>
        </w:rPr>
        <w:t>Interpretation</w:t>
      </w:r>
    </w:p>
    <w:p w14:paraId="0C0AF633" w14:textId="77777777" w:rsidR="00795530" w:rsidRPr="00415E78" w:rsidRDefault="00000000">
      <w:pPr>
        <w:pStyle w:val="FirstParagraph"/>
        <w:rPr>
          <w:rFonts w:ascii="Garamond" w:hAnsi="Garamond"/>
        </w:rPr>
      </w:pPr>
      <w:r w:rsidRPr="00415E78">
        <w:rPr>
          <w:rFonts w:ascii="Garamond" w:hAnsi="Garamond"/>
        </w:rPr>
        <w:t>Drawing on relevant social scientific research,</w:t>
      </w:r>
      <w:r w:rsidRPr="00415E78">
        <w:rPr>
          <w:rStyle w:val="FootnoteReference"/>
          <w:rFonts w:ascii="Garamond" w:hAnsi="Garamond"/>
        </w:rPr>
        <w:footnoteReference w:id="3"/>
      </w:r>
      <w:r w:rsidRPr="00415E78">
        <w:rPr>
          <w:rFonts w:ascii="Garamond" w:hAnsi="Garamond"/>
        </w:rPr>
        <w:t xml:space="preserve"> carefully interpret the results of your visualization. Clearly articulate how your findings relate to (i.e., refine or complicate) extant understandings of </w:t>
      </w:r>
      <m:oMath>
        <m:r>
          <w:rPr>
            <w:rFonts w:ascii="Cambria Math" w:hAnsi="Cambria Math"/>
          </w:rPr>
          <m:t>x</m:t>
        </m:r>
      </m:oMath>
      <w:r w:rsidRPr="00415E78">
        <w:rPr>
          <w:rFonts w:ascii="Garamond" w:hAnsi="Garamond"/>
        </w:rPr>
        <w:t xml:space="preserve">, your phenomenon of interest. Do your results offer novel or interesting insights? Are there any unexpected patterns that emerge, and if so, how can you account for them? Thoughtfully connect your interpretation to the broader literature, highlighting areas of convergence or disjuncture before clarifying what your graphic reveals about the sociological mechanisms animating </w:t>
      </w:r>
      <m:oMath>
        <m:r>
          <w:rPr>
            <w:rFonts w:ascii="Cambria Math" w:hAnsi="Cambria Math"/>
          </w:rPr>
          <m:t>x</m:t>
        </m:r>
      </m:oMath>
      <w:r w:rsidRPr="00415E78">
        <w:rPr>
          <w:rFonts w:ascii="Garamond" w:hAnsi="Garamond"/>
        </w:rPr>
        <w:t>.</w:t>
      </w:r>
    </w:p>
    <w:p w14:paraId="1B93BACD" w14:textId="77777777" w:rsidR="00795530" w:rsidRPr="00415E78" w:rsidRDefault="00000000">
      <w:pPr>
        <w:pStyle w:val="Heading3"/>
        <w:rPr>
          <w:rFonts w:ascii="Garamond" w:hAnsi="Garamond"/>
        </w:rPr>
      </w:pPr>
      <w:bookmarkStart w:id="9" w:name="conclusion"/>
      <w:bookmarkEnd w:id="8"/>
      <w:r w:rsidRPr="00415E78">
        <w:rPr>
          <w:rFonts w:ascii="Garamond" w:hAnsi="Garamond"/>
        </w:rPr>
        <w:lastRenderedPageBreak/>
        <w:t>Conclusion</w:t>
      </w:r>
    </w:p>
    <w:p w14:paraId="0D720DC3" w14:textId="77777777" w:rsidR="00795530" w:rsidRPr="00415E78" w:rsidRDefault="00000000">
      <w:pPr>
        <w:pStyle w:val="FirstParagraph"/>
        <w:rPr>
          <w:rFonts w:ascii="Garamond" w:hAnsi="Garamond"/>
        </w:rPr>
      </w:pPr>
      <w:r w:rsidRPr="00415E78">
        <w:rPr>
          <w:rFonts w:ascii="Garamond" w:hAnsi="Garamond"/>
        </w:rPr>
        <w:t>In concluding your brief essay, please restate the central arguments proferred in your text and discuss the limitations of your analysis.</w:t>
      </w:r>
    </w:p>
    <w:p w14:paraId="6B86A9A9" w14:textId="77777777" w:rsidR="00795530" w:rsidRPr="00415E78" w:rsidRDefault="00000000">
      <w:pPr>
        <w:pStyle w:val="Heading2"/>
        <w:rPr>
          <w:rFonts w:ascii="Garamond" w:hAnsi="Garamond"/>
        </w:rPr>
      </w:pPr>
      <w:bookmarkStart w:id="10" w:name="formatting-guidelines"/>
      <w:bookmarkEnd w:id="5"/>
      <w:bookmarkEnd w:id="9"/>
      <w:r w:rsidRPr="00415E78">
        <w:rPr>
          <w:rFonts w:ascii="Garamond" w:hAnsi="Garamond"/>
        </w:rPr>
        <w:t>Formatting Guidelines</w:t>
      </w:r>
    </w:p>
    <w:p w14:paraId="28279E99" w14:textId="40366A99" w:rsidR="00795530" w:rsidRPr="00415E78" w:rsidRDefault="00000000">
      <w:pPr>
        <w:pStyle w:val="FirstParagraph"/>
        <w:rPr>
          <w:rFonts w:ascii="Garamond" w:hAnsi="Garamond"/>
        </w:rPr>
      </w:pPr>
      <w:r w:rsidRPr="00415E78">
        <w:rPr>
          <w:rFonts w:ascii="Garamond" w:hAnsi="Garamond"/>
        </w:rPr>
        <w:t xml:space="preserve">You are free to prepare your “midterm” assignment in Microsoft Word, Google Docs, $\LaTeX$, RMarkdown or Quarto. Concretely, this means you can submit your short essay as a </w:t>
      </w:r>
      <w:r w:rsidRPr="00415E78">
        <w:rPr>
          <w:rStyle w:val="VerbatimChar"/>
          <w:rFonts w:ascii="Garamond" w:hAnsi="Garamond"/>
        </w:rPr>
        <w:t>.docx</w:t>
      </w:r>
      <w:r w:rsidRPr="00415E78">
        <w:rPr>
          <w:rFonts w:ascii="Garamond" w:hAnsi="Garamond"/>
        </w:rPr>
        <w:t xml:space="preserve"> file or as a </w:t>
      </w:r>
      <w:r w:rsidR="00FF3FE9" w:rsidRPr="00415E78">
        <w:rPr>
          <w:rFonts w:ascii="Garamond" w:hAnsi="Garamond"/>
        </w:rPr>
        <w:t>PDF</w:t>
      </w:r>
      <w:r w:rsidRPr="00415E78">
        <w:rPr>
          <w:rFonts w:ascii="Garamond" w:hAnsi="Garamond"/>
        </w:rPr>
        <w:t xml:space="preserve">. Your main text must be double-spaced and formatted in a 12-point font. Margins should be set to 1 inch on all sides (top, bottom, left, and right). You are free to use either an </w:t>
      </w:r>
      <w:hyperlink r:id="rId17">
        <w:r w:rsidR="00795530" w:rsidRPr="00415E78">
          <w:rPr>
            <w:rStyle w:val="Hyperlink"/>
            <w:rFonts w:ascii="Garamond" w:hAnsi="Garamond"/>
          </w:rPr>
          <w:t>APA</w:t>
        </w:r>
      </w:hyperlink>
      <w:r w:rsidRPr="00415E78">
        <w:rPr>
          <w:rFonts w:ascii="Garamond" w:hAnsi="Garamond"/>
        </w:rPr>
        <w:t xml:space="preserve"> or </w:t>
      </w:r>
      <w:hyperlink r:id="rId18">
        <w:r w:rsidR="00795530" w:rsidRPr="00415E78">
          <w:rPr>
            <w:rStyle w:val="Hyperlink"/>
            <w:rFonts w:ascii="Garamond" w:hAnsi="Garamond"/>
          </w:rPr>
          <w:t>ASA</w:t>
        </w:r>
      </w:hyperlink>
      <w:r w:rsidRPr="00415E78">
        <w:rPr>
          <w:rFonts w:ascii="Garamond" w:hAnsi="Garamond"/>
        </w:rPr>
        <w:t xml:space="preserve"> citation style to manage the references you include.</w:t>
      </w: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648"/>
      </w:tblGrid>
      <w:tr w:rsidR="00795530" w:rsidRPr="00415E78" w14:paraId="6E02E9F1" w14:textId="77777777" w:rsidTr="00795530">
        <w:trPr>
          <w:cantSplit/>
        </w:trPr>
        <w:tc>
          <w:tcPr>
            <w:tcW w:w="0" w:type="auto"/>
            <w:shd w:val="clear" w:color="auto" w:fill="CCF1E3"/>
            <w:tcMar>
              <w:top w:w="92" w:type="dxa"/>
              <w:bottom w:w="92" w:type="dxa"/>
            </w:tcMar>
          </w:tcPr>
          <w:p w14:paraId="12FC2422" w14:textId="63EC716B" w:rsidR="00795530" w:rsidRPr="00415E78" w:rsidRDefault="00000000">
            <w:pPr>
              <w:pStyle w:val="BodyText"/>
              <w:spacing w:before="0" w:after="0"/>
              <w:textAlignment w:val="center"/>
              <w:rPr>
                <w:rFonts w:ascii="Garamond" w:hAnsi="Garamond"/>
              </w:rPr>
            </w:pPr>
            <w:r w:rsidRPr="00415E78">
              <w:rPr>
                <w:rFonts w:ascii="Garamond" w:hAnsi="Garamond"/>
                <w:noProof/>
              </w:rPr>
              <w:drawing>
                <wp:inline distT="0" distB="0" distL="0" distR="0" wp14:anchorId="3B4CAE3A" wp14:editId="07C4CA21">
                  <wp:extent cx="152400" cy="15240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Applications/quarto/share/formats/docx/tip.png"/>
                          <pic:cNvPicPr>
                            <a:picLocks noChangeAspect="1" noChangeArrowheads="1"/>
                          </pic:cNvPicPr>
                        </pic:nvPicPr>
                        <pic:blipFill>
                          <a:blip r:embed="rId19"/>
                          <a:stretch>
                            <a:fillRect/>
                          </a:stretch>
                        </pic:blipFill>
                        <pic:spPr bwMode="auto">
                          <a:xfrm>
                            <a:off x="0" y="0"/>
                            <a:ext cx="152400" cy="152400"/>
                          </a:xfrm>
                          <a:prstGeom prst="rect">
                            <a:avLst/>
                          </a:prstGeom>
                          <a:noFill/>
                          <a:ln w="9525">
                            <a:noFill/>
                            <a:headEnd/>
                            <a:tailEnd/>
                          </a:ln>
                        </pic:spPr>
                      </pic:pic>
                    </a:graphicData>
                  </a:graphic>
                </wp:inline>
              </w:drawing>
            </w:r>
            <w:r w:rsidRPr="00415E78">
              <w:rPr>
                <w:rFonts w:ascii="Garamond" w:hAnsi="Garamond"/>
              </w:rPr>
              <w:t xml:space="preserve">  Zotero</w:t>
            </w:r>
          </w:p>
        </w:tc>
      </w:tr>
      <w:tr w:rsidR="00795530" w:rsidRPr="00415E78" w14:paraId="1FA3A5A5" w14:textId="77777777" w:rsidTr="00795530">
        <w:trPr>
          <w:cantSplit/>
        </w:trPr>
        <w:tc>
          <w:tcPr>
            <w:tcW w:w="0" w:type="auto"/>
            <w:tcMar>
              <w:top w:w="108" w:type="dxa"/>
              <w:bottom w:w="108" w:type="dxa"/>
            </w:tcMar>
          </w:tcPr>
          <w:p w14:paraId="00D5A83C" w14:textId="77777777" w:rsidR="00795530" w:rsidRPr="00415E78" w:rsidRDefault="00000000">
            <w:pPr>
              <w:pStyle w:val="BodyText"/>
              <w:spacing w:before="16" w:after="16"/>
              <w:rPr>
                <w:rFonts w:ascii="Garamond" w:hAnsi="Garamond"/>
              </w:rPr>
            </w:pPr>
            <w:r w:rsidRPr="00415E78">
              <w:rPr>
                <w:rFonts w:ascii="Garamond" w:hAnsi="Garamond"/>
              </w:rPr>
              <w:t xml:space="preserve">If you haven’t done so already, you may want to invest in </w:t>
            </w:r>
            <w:hyperlink r:id="rId20">
              <w:r w:rsidR="00795530" w:rsidRPr="00415E78">
                <w:rPr>
                  <w:rStyle w:val="Hyperlink"/>
                  <w:rFonts w:ascii="Garamond" w:hAnsi="Garamond"/>
                </w:rPr>
                <w:t>Zotero</w:t>
              </w:r>
            </w:hyperlink>
            <w:r w:rsidRPr="00415E78">
              <w:rPr>
                <w:rFonts w:ascii="Garamond" w:hAnsi="Garamond"/>
              </w:rPr>
              <w:t xml:space="preserve"> to manage your citations.</w:t>
            </w:r>
          </w:p>
        </w:tc>
      </w:tr>
    </w:tbl>
    <w:p w14:paraId="641665FC" w14:textId="77777777" w:rsidR="00795530" w:rsidRPr="00415E78" w:rsidRDefault="00000000">
      <w:pPr>
        <w:pStyle w:val="BodyText"/>
        <w:rPr>
          <w:rFonts w:ascii="Garamond" w:hAnsi="Garamond"/>
        </w:rPr>
      </w:pPr>
      <w:r w:rsidRPr="00415E78">
        <w:rPr>
          <w:rFonts w:ascii="Garamond" w:hAnsi="Garamond"/>
        </w:rPr>
        <w:t xml:space="preserve"> </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648"/>
      </w:tblGrid>
      <w:tr w:rsidR="00795530" w:rsidRPr="00415E78" w14:paraId="7B6FB106" w14:textId="77777777" w:rsidTr="00795530">
        <w:trPr>
          <w:cantSplit/>
        </w:trPr>
        <w:tc>
          <w:tcPr>
            <w:tcW w:w="0" w:type="auto"/>
            <w:shd w:val="clear" w:color="auto" w:fill="FCEFDC"/>
            <w:tcMar>
              <w:top w:w="92" w:type="dxa"/>
              <w:bottom w:w="92" w:type="dxa"/>
            </w:tcMar>
          </w:tcPr>
          <w:p w14:paraId="4A535EFB" w14:textId="77777777" w:rsidR="00795530" w:rsidRPr="00415E78" w:rsidRDefault="00000000">
            <w:pPr>
              <w:pStyle w:val="BodyText"/>
              <w:spacing w:before="0" w:after="0"/>
              <w:textAlignment w:val="center"/>
              <w:rPr>
                <w:rFonts w:ascii="Garamond" w:hAnsi="Garamond"/>
              </w:rPr>
            </w:pPr>
            <w:r w:rsidRPr="00415E78">
              <w:rPr>
                <w:rFonts w:ascii="Garamond" w:hAnsi="Garamond"/>
                <w:noProof/>
              </w:rPr>
              <w:drawing>
                <wp:inline distT="0" distB="0" distL="0" distR="0" wp14:anchorId="238B0C69" wp14:editId="2867E95E">
                  <wp:extent cx="152400" cy="15240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Picture" descr="/Applications/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rsidRPr="00415E78">
              <w:rPr>
                <w:rFonts w:ascii="Garamond" w:hAnsi="Garamond"/>
              </w:rPr>
              <w:t xml:space="preserve">  A Note About Subheadings</w:t>
            </w:r>
          </w:p>
        </w:tc>
      </w:tr>
      <w:tr w:rsidR="00795530" w:rsidRPr="00415E78" w14:paraId="704EB577" w14:textId="77777777" w:rsidTr="00795530">
        <w:trPr>
          <w:cantSplit/>
        </w:trPr>
        <w:tc>
          <w:tcPr>
            <w:tcW w:w="0" w:type="auto"/>
            <w:tcMar>
              <w:top w:w="108" w:type="dxa"/>
              <w:bottom w:w="108" w:type="dxa"/>
            </w:tcMar>
          </w:tcPr>
          <w:p w14:paraId="06E73E53" w14:textId="77777777" w:rsidR="00795530" w:rsidRPr="00415E78" w:rsidRDefault="00000000">
            <w:pPr>
              <w:pStyle w:val="BodyText"/>
              <w:spacing w:before="16" w:after="16"/>
              <w:rPr>
                <w:rFonts w:ascii="Garamond" w:hAnsi="Garamond"/>
              </w:rPr>
            </w:pPr>
            <w:r w:rsidRPr="00415E78">
              <w:rPr>
                <w:rFonts w:ascii="Garamond" w:hAnsi="Garamond"/>
              </w:rPr>
              <w:t xml:space="preserve">You </w:t>
            </w:r>
            <w:r w:rsidRPr="00415E78">
              <w:rPr>
                <w:rFonts w:ascii="Garamond" w:hAnsi="Garamond"/>
                <w:b/>
                <w:bCs/>
                <w:i/>
                <w:iCs/>
              </w:rPr>
              <w:t>must</w:t>
            </w:r>
            <w:r w:rsidRPr="00415E78">
              <w:rPr>
                <w:rFonts w:ascii="Garamond" w:hAnsi="Garamond"/>
              </w:rPr>
              <w:t xml:space="preserve"> use subheadings to organize your arguments.</w:t>
            </w:r>
          </w:p>
        </w:tc>
      </w:tr>
      <w:bookmarkEnd w:id="10"/>
    </w:tbl>
    <w:p w14:paraId="169482BB" w14:textId="77777777" w:rsidR="000968AA" w:rsidRPr="00415E78" w:rsidRDefault="000968AA">
      <w:pPr>
        <w:rPr>
          <w:rFonts w:ascii="Garamond" w:hAnsi="Garamond"/>
        </w:rPr>
      </w:pPr>
    </w:p>
    <w:p w14:paraId="65271D38" w14:textId="77777777" w:rsidR="00FF3FE9" w:rsidRPr="00415E78" w:rsidRDefault="00FF3FE9">
      <w:pPr>
        <w:rPr>
          <w:rFonts w:ascii="Garamond" w:hAnsi="Garamond"/>
        </w:rPr>
      </w:pPr>
    </w:p>
    <w:sectPr w:rsidR="00FF3FE9" w:rsidRPr="00415E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7A316" w14:textId="77777777" w:rsidR="00B357A4" w:rsidRDefault="00B357A4">
      <w:pPr>
        <w:spacing w:after="0"/>
      </w:pPr>
      <w:r>
        <w:separator/>
      </w:r>
    </w:p>
  </w:endnote>
  <w:endnote w:type="continuationSeparator" w:id="0">
    <w:p w14:paraId="2B4D25E4" w14:textId="77777777" w:rsidR="00B357A4" w:rsidRDefault="00B357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3AEB" w14:textId="77777777" w:rsidR="00B357A4" w:rsidRDefault="00B357A4">
      <w:pPr>
        <w:spacing w:after="0"/>
      </w:pPr>
      <w:r>
        <w:separator/>
      </w:r>
    </w:p>
  </w:footnote>
  <w:footnote w:type="continuationSeparator" w:id="0">
    <w:p w14:paraId="2A99B41E" w14:textId="77777777" w:rsidR="00B357A4" w:rsidRDefault="00B357A4">
      <w:pPr>
        <w:spacing w:after="0"/>
      </w:pPr>
      <w:r>
        <w:continuationSeparator/>
      </w:r>
    </w:p>
  </w:footnote>
  <w:footnote w:id="1">
    <w:p w14:paraId="0006794A" w14:textId="77777777" w:rsidR="00795530" w:rsidRPr="00C31B4E" w:rsidRDefault="00000000">
      <w:pPr>
        <w:pStyle w:val="FootnoteText"/>
        <w:rPr>
          <w:rFonts w:ascii="Garamond" w:hAnsi="Garamond"/>
        </w:rPr>
      </w:pPr>
      <w:r w:rsidRPr="00C31B4E">
        <w:rPr>
          <w:rStyle w:val="FootnoteReference"/>
          <w:rFonts w:ascii="Garamond" w:hAnsi="Garamond"/>
        </w:rPr>
        <w:footnoteRef/>
      </w:r>
      <w:r w:rsidRPr="00C31B4E">
        <w:rPr>
          <w:rFonts w:ascii="Garamond" w:hAnsi="Garamond"/>
        </w:rPr>
        <w:t xml:space="preserve"> It’s not exactly </w:t>
      </w:r>
      <w:r w:rsidRPr="00C31B4E">
        <w:rPr>
          <w:rFonts w:ascii="Garamond" w:hAnsi="Garamond"/>
          <w:i/>
          <w:iCs/>
        </w:rPr>
        <w:t>midterm</w:t>
      </w:r>
      <w:r w:rsidRPr="00C31B4E">
        <w:rPr>
          <w:rFonts w:ascii="Garamond" w:hAnsi="Garamond"/>
        </w:rPr>
        <w:t xml:space="preserve"> anymore, but let’s pretend.</w:t>
      </w:r>
    </w:p>
  </w:footnote>
  <w:footnote w:id="2">
    <w:p w14:paraId="1367CE6C" w14:textId="77777777" w:rsidR="00795530" w:rsidRPr="00C31B4E" w:rsidRDefault="00000000">
      <w:pPr>
        <w:pStyle w:val="FootnoteText"/>
        <w:rPr>
          <w:rFonts w:ascii="Garamond" w:hAnsi="Garamond"/>
        </w:rPr>
      </w:pPr>
      <w:r w:rsidRPr="00C31B4E">
        <w:rPr>
          <w:rStyle w:val="FootnoteReference"/>
          <w:rFonts w:ascii="Garamond" w:hAnsi="Garamond"/>
        </w:rPr>
        <w:footnoteRef/>
      </w:r>
      <w:r w:rsidRPr="00C31B4E">
        <w:rPr>
          <w:rFonts w:ascii="Garamond" w:hAnsi="Garamond"/>
        </w:rPr>
        <w:t xml:space="preserve"> Me.</w:t>
      </w:r>
    </w:p>
  </w:footnote>
  <w:footnote w:id="3">
    <w:p w14:paraId="1066C41B" w14:textId="77777777" w:rsidR="00795530" w:rsidRPr="00C31B4E" w:rsidRDefault="00000000">
      <w:pPr>
        <w:pStyle w:val="FootnoteText"/>
        <w:rPr>
          <w:rFonts w:ascii="Garamond" w:hAnsi="Garamond"/>
        </w:rPr>
      </w:pPr>
      <w:r w:rsidRPr="00C31B4E">
        <w:rPr>
          <w:rStyle w:val="FootnoteReference"/>
          <w:rFonts w:ascii="Garamond" w:hAnsi="Garamond"/>
        </w:rPr>
        <w:footnoteRef/>
      </w:r>
      <w:r w:rsidRPr="00C31B4E">
        <w:rPr>
          <w:rFonts w:ascii="Garamond" w:hAnsi="Garamond"/>
        </w:rPr>
        <w:t xml:space="preserve"> Again, </w:t>
      </w:r>
      <w:r w:rsidRPr="00C31B4E">
        <w:rPr>
          <w:rFonts w:ascii="Garamond" w:hAnsi="Garamond"/>
          <w:i/>
          <w:iCs/>
        </w:rPr>
        <w:t>most</w:t>
      </w:r>
      <w:r w:rsidRPr="00C31B4E">
        <w:rPr>
          <w:rFonts w:ascii="Garamond" w:hAnsi="Garamond"/>
        </w:rPr>
        <w:t xml:space="preserve"> of the papers you engage with should be quantitatively oriented.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664783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CB52B0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0A99412"/>
    <w:multiLevelType w:val="multilevel"/>
    <w:tmpl w:val="74EAA890"/>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 w16cid:durableId="597521368">
    <w:abstractNumId w:val="0"/>
  </w:num>
  <w:num w:numId="2" w16cid:durableId="1605268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18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61821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530"/>
    <w:rsid w:val="000968AA"/>
    <w:rsid w:val="00415E78"/>
    <w:rsid w:val="00795530"/>
    <w:rsid w:val="007F5477"/>
    <w:rsid w:val="00A63756"/>
    <w:rsid w:val="00B357A4"/>
    <w:rsid w:val="00C31B4E"/>
    <w:rsid w:val="00CB5A1B"/>
    <w:rsid w:val="00CC3F94"/>
    <w:rsid w:val="00CE05E2"/>
    <w:rsid w:val="00ED019A"/>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8888"/>
  <w15:docId w15:val="{332E8937-56F5-A346-ABE2-8FD6770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character" w:styleId="FollowedHyperlink">
    <w:name w:val="FollowedHyperlink"/>
    <w:basedOn w:val="DefaultParagraphFont"/>
    <w:rsid w:val="00C31B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wl.purdue.edu/owl/research_and_citation/asa_style/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oci269.netlify.app/" TargetMode="External"/><Relationship Id="rId12" Type="http://schemas.openxmlformats.org/officeDocument/2006/relationships/hyperlink" Target="https://github.com/jamesmartherus/anesr" TargetMode="External"/><Relationship Id="rId17" Type="http://schemas.openxmlformats.org/officeDocument/2006/relationships/hyperlink" Target="https://owl.purdue.edu/owl/research_and_citation/apa_style/apa_formatting_and_style_guide/general_format.html" TargetMode="External"/><Relationship Id="rId2" Type="http://schemas.openxmlformats.org/officeDocument/2006/relationships/styles" Target="styles.xml"/><Relationship Id="rId16" Type="http://schemas.openxmlformats.org/officeDocument/2006/relationships/hyperlink" Target="https://writingcenter.fas.harvard.edu/thesis" TargetMode="External"/><Relationship Id="rId20" Type="http://schemas.openxmlformats.org/officeDocument/2006/relationships/hyperlink" Target="https://www.zoter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jhealy.github.io/gssr/" TargetMode="External"/><Relationship Id="rId5" Type="http://schemas.openxmlformats.org/officeDocument/2006/relationships/footnotes" Target="footnotes.xml"/><Relationship Id="rId15" Type="http://schemas.openxmlformats.org/officeDocument/2006/relationships/hyperlink" Target="https://github.com/sakeefkarim/intro_quantitative_sociology/tree/main" TargetMode="External"/><Relationship Id="rId10" Type="http://schemas.openxmlformats.org/officeDocument/2006/relationships/hyperlink" Target="https://soci269-w4.netlify.app/"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data/assignment-2.R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 269   An Introduction to Quantitative Sociology “Midterm” Assignment</dc:title>
  <dc:creator/>
  <cp:keywords/>
  <cp:lastModifiedBy>Sakeef Karim</cp:lastModifiedBy>
  <cp:revision>6</cp:revision>
  <dcterms:created xsi:type="dcterms:W3CDTF">2025-03-14T06:16:00Z</dcterms:created>
  <dcterms:modified xsi:type="dcterms:W3CDTF">2025-04-01T13:05:00Z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source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mainfont">
    <vt:lpwstr>Red Hat Display</vt:lpwstr>
  </property>
  <property fmtid="{D5CDD505-2E9C-101B-9397-08002B2CF9AE}" pid="9" name="subtitle">
    <vt:lpwstr>Sakeef M. Karim   Amherst College</vt:lpwstr>
  </property>
  <property fmtid="{D5CDD505-2E9C-101B-9397-08002B2CF9AE}" pid="10" name="toc-title">
    <vt:lpwstr>Table of contents</vt:lpwstr>
  </property>
</Properties>
</file>